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kern w:val="0"/>
          <w:sz w:val="32"/>
          <w:szCs w:val="32"/>
        </w:rPr>
        <w:t>：</w:t>
      </w:r>
    </w:p>
    <w:p>
      <w:pPr>
        <w:pStyle w:val="2"/>
        <w:tabs>
          <w:tab w:val="left" w:pos="8820"/>
        </w:tabs>
        <w:jc w:val="center"/>
        <w:rPr>
          <w:rFonts w:hint="eastAsia" w:ascii="宋体" w:hAnsi="宋体"/>
          <w:b/>
          <w:kern w:val="0"/>
          <w:sz w:val="44"/>
          <w:szCs w:val="44"/>
        </w:rPr>
      </w:pPr>
    </w:p>
    <w:p>
      <w:pPr>
        <w:pStyle w:val="2"/>
        <w:tabs>
          <w:tab w:val="left" w:pos="8820"/>
        </w:tabs>
        <w:jc w:val="center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  <w:lang w:val="en-US" w:eastAsia="zh-CN"/>
        </w:rPr>
        <w:t>三亚</w:t>
      </w:r>
      <w:r>
        <w:rPr>
          <w:rFonts w:hint="eastAsia" w:ascii="宋体" w:hAnsi="宋体"/>
          <w:b/>
          <w:kern w:val="0"/>
          <w:sz w:val="44"/>
          <w:szCs w:val="44"/>
        </w:rPr>
        <w:t>地区各律师事务所参检时间安排</w:t>
      </w:r>
    </w:p>
    <w:p>
      <w:pPr>
        <w:pStyle w:val="2"/>
        <w:snapToGrid w:val="0"/>
        <w:spacing w:line="500" w:lineRule="exact"/>
        <w:ind w:firstLine="453" w:firstLineChars="141"/>
        <w:rPr>
          <w:rFonts w:hint="eastAsia" w:ascii="仿宋" w:hAnsi="仿宋" w:eastAsia="仿宋"/>
          <w:b/>
          <w:kern w:val="0"/>
          <w:sz w:val="32"/>
          <w:szCs w:val="32"/>
        </w:rPr>
      </w:pPr>
    </w:p>
    <w:p>
      <w:pPr>
        <w:pStyle w:val="2"/>
        <w:snapToGrid w:val="0"/>
        <w:spacing w:line="500" w:lineRule="exact"/>
        <w:ind w:firstLine="610" w:firstLineChars="19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  <w:t>20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  <w:t>日至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  <w:t xml:space="preserve">日 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，各律</w:t>
      </w:r>
      <w:r>
        <w:rPr>
          <w:rFonts w:hint="eastAsia" w:ascii="仿宋" w:hAnsi="仿宋" w:eastAsia="仿宋"/>
          <w:kern w:val="0"/>
          <w:sz w:val="32"/>
          <w:szCs w:val="32"/>
        </w:rPr>
        <w:t>所参检时间如下：</w:t>
      </w:r>
    </w:p>
    <w:p>
      <w:pPr>
        <w:ind w:firstLine="643" w:firstLineChars="200"/>
        <w:rPr>
          <w:rFonts w:hint="eastAsia" w:ascii="仿宋" w:hAnsi="仿宋" w:eastAsia="仿宋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/>
          <w:kern w:val="0"/>
          <w:sz w:val="32"/>
          <w:szCs w:val="32"/>
          <w:highlight w:val="none"/>
          <w:lang w:val="en-US" w:eastAsia="zh-CN" w:bidi="ar-SA"/>
        </w:rPr>
        <w:t>10月16日-10月21日</w:t>
      </w:r>
      <w:r>
        <w:rPr>
          <w:rFonts w:hint="eastAsia" w:ascii="仿宋" w:hAnsi="仿宋" w:eastAsia="仿宋" w:cstheme="minorBidi"/>
          <w:kern w:val="0"/>
          <w:sz w:val="32"/>
          <w:szCs w:val="32"/>
          <w:lang w:val="en-US" w:eastAsia="zh-CN" w:bidi="ar-SA"/>
        </w:rPr>
        <w:t>：</w:t>
      </w:r>
    </w:p>
    <w:p>
      <w:pPr>
        <w:tabs>
          <w:tab w:val="left" w:pos="675"/>
        </w:tabs>
        <w:snapToGrid w:val="0"/>
        <w:spacing w:line="560" w:lineRule="exact"/>
        <w:ind w:firstLine="627" w:firstLineChars="196"/>
        <w:rPr>
          <w:rFonts w:hint="eastAsia" w:ascii="仿宋" w:hAnsi="仿宋" w:eastAsia="仿宋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kern w:val="0"/>
          <w:sz w:val="32"/>
          <w:szCs w:val="32"/>
          <w:highlight w:val="none"/>
          <w:lang w:val="en-US" w:eastAsia="zh-CN"/>
        </w:rPr>
        <w:t>海南三和元律师事务所、海南邦威律师事务所、海南中海律师事务所、海南言必信律师事务所、海南祥瑞律师事务所、北京岳成（三亚）律师事务所、海南惠海律师事务所、海南云帆律师事务所、海南琼亚律师事务所、海南大兴天泰（三亚）律师事务所、黑龙江新时达（三亚）律师事务所、广东东方昆仑（三亚）律师事务所、海南建亚律师事务所、北京金杜（三亚）律师事务所、海南落笔律师事务所、海南追源律师事务所；</w:t>
      </w:r>
    </w:p>
    <w:p>
      <w:pPr>
        <w:tabs>
          <w:tab w:val="left" w:pos="675"/>
        </w:tabs>
        <w:snapToGrid w:val="0"/>
        <w:spacing w:line="560" w:lineRule="exact"/>
        <w:ind w:firstLine="630" w:firstLineChars="196"/>
        <w:rPr>
          <w:rFonts w:hint="eastAsia" w:ascii="仿宋" w:hAnsi="仿宋" w:eastAsia="仿宋"/>
          <w:b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highlight w:val="none"/>
        </w:rPr>
        <w:t>日-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highlight w:val="none"/>
        </w:rPr>
        <w:t>日：</w:t>
      </w:r>
    </w:p>
    <w:p>
      <w:pPr>
        <w:tabs>
          <w:tab w:val="left" w:pos="675"/>
        </w:tabs>
        <w:snapToGrid w:val="0"/>
        <w:spacing w:line="560" w:lineRule="exact"/>
        <w:ind w:firstLine="627" w:firstLineChars="196"/>
        <w:rPr>
          <w:rFonts w:hint="eastAsia" w:ascii="仿宋" w:hAnsi="仿宋" w:eastAsia="仿宋"/>
          <w:b w:val="0"/>
          <w:bCs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b w:val="0"/>
          <w:bCs w:val="0"/>
          <w:kern w:val="0"/>
          <w:sz w:val="32"/>
          <w:szCs w:val="32"/>
          <w:highlight w:val="none"/>
        </w:rPr>
        <w:t>北京众明（三亚）律师事务所、海南同玺律师事务所、北京德恒（三亚）律师事务所、广东华商（三亚）律师事务所、北京竞天公诚（三亚）律师事务所、北京天同（三亚）律师事务所、北京大成（三亚）律师事务所、广东金桥百信（三亚）律师事务所、海南法格律师事务所、北京中银（三亚）律师事务所、海南鑫恒律师事务所、海南湛铭律师事务所、海南云常律师事务所、北京恒都（三亚）律师事务所</w:t>
      </w:r>
      <w:r>
        <w:rPr>
          <w:rFonts w:hint="eastAsia" w:ascii="仿宋" w:hAnsi="仿宋" w:eastAsia="仿宋"/>
          <w:b w:val="0"/>
          <w:bCs w:val="0"/>
          <w:kern w:val="0"/>
          <w:sz w:val="32"/>
          <w:szCs w:val="32"/>
          <w:highlight w:val="none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/>
          <w:b w:val="0"/>
          <w:bCs w:val="0"/>
          <w:kern w:val="0"/>
          <w:sz w:val="32"/>
          <w:szCs w:val="32"/>
          <w:highlight w:val="none"/>
          <w:lang w:val="en-US" w:eastAsia="zh-CN"/>
        </w:rPr>
      </w:pPr>
    </w:p>
    <w:p>
      <w:pPr>
        <w:ind w:firstLine="643" w:firstLineChars="200"/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</w:pPr>
    </w:p>
    <w:p>
      <w:pPr>
        <w:ind w:firstLine="643" w:firstLineChars="200"/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  <w:t>日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-11月4日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  <w:t>：</w:t>
      </w:r>
    </w:p>
    <w:p>
      <w:pPr>
        <w:ind w:firstLine="640" w:firstLineChars="200"/>
        <w:rPr>
          <w:rFonts w:hint="eastAsia" w:ascii="仿宋" w:hAnsi="仿宋" w:eastAsia="仿宋"/>
          <w:b w:val="0"/>
          <w:bCs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b w:val="0"/>
          <w:bCs/>
          <w:kern w:val="0"/>
          <w:sz w:val="32"/>
          <w:szCs w:val="32"/>
          <w:highlight w:val="none"/>
        </w:rPr>
        <w:t>四川税邦（三亚）律师事务所、海南卓一律师事务所、北京瀛和（三亚）律师事务所、海南丹维律师事务所、海南靖麒律师事务所、广东法制盛邦（三亚）律师事务所、北京乾成（三亚）律师事务所、北京中鹏（三亚）律师事务所、海南璟悦律师事务所、黑龙江焦点（三亚）律师事务所、黑龙江金马（三亚）律师事务所、北京金诚同达（三亚）律师事务所、北京国舜（三亚）律师事务所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  <w:highlight w:val="none"/>
          <w:lang w:eastAsia="zh-CN"/>
        </w:rPr>
        <w:t>；</w:t>
      </w:r>
    </w:p>
    <w:p>
      <w:pPr>
        <w:ind w:firstLine="643" w:firstLineChars="200"/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  <w:t>日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-11月11日：</w:t>
      </w:r>
    </w:p>
    <w:p>
      <w:pPr>
        <w:ind w:firstLine="640" w:firstLineChars="200"/>
        <w:rPr>
          <w:rFonts w:hint="eastAsia" w:ascii="仿宋" w:hAnsi="仿宋" w:eastAsia="仿宋"/>
          <w:b w:val="0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kern w:val="0"/>
          <w:sz w:val="32"/>
          <w:szCs w:val="32"/>
          <w:highlight w:val="none"/>
          <w:lang w:val="en-US" w:eastAsia="zh-CN"/>
        </w:rPr>
        <w:t>海南彩熠律师事务所、海南凰家桐林律师事务所、四川法邦（三亚）律师事务所、海南应许律师事务所、海南领迈律师事务所、海南院府律师事务所、海南百耀律师事务所、海南信辞律师事务所、北京中盛（三亚）律师事务所、广东知泓（三亚）律师事务所；</w:t>
      </w:r>
    </w:p>
    <w:p>
      <w:pPr>
        <w:ind w:firstLine="643" w:firstLineChars="200"/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  <w:t>日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 xml:space="preserve">-11月18日： </w:t>
      </w:r>
    </w:p>
    <w:p>
      <w:pPr>
        <w:ind w:firstLine="640" w:firstLineChars="200"/>
        <w:rPr>
          <w:rFonts w:hint="eastAsia" w:ascii="仿宋" w:hAnsi="仿宋" w:eastAsia="仿宋"/>
          <w:b w:val="0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kern w:val="0"/>
          <w:sz w:val="32"/>
          <w:szCs w:val="32"/>
          <w:highlight w:val="none"/>
          <w:lang w:val="en-US" w:eastAsia="zh-CN"/>
        </w:rPr>
        <w:t>北京尚衡（三亚）律师事务所、河北宁昌（三亚）律师事务所、海南昌宇（三亚）律师事务所、海南威拓律师事务所、海南积汇律师事务所、北京百瑞（三亚）律师事务所、海南慕周律师事务所；</w:t>
      </w:r>
    </w:p>
    <w:p>
      <w:pPr>
        <w:ind w:firstLine="643" w:firstLineChars="200"/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  <w:t>日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-11月25日：</w:t>
      </w:r>
    </w:p>
    <w:p>
      <w:pPr>
        <w:ind w:firstLine="640" w:firstLineChars="200"/>
        <w:rPr>
          <w:rFonts w:hint="eastAsia" w:ascii="仿宋" w:hAnsi="仿宋" w:eastAsia="仿宋"/>
          <w:b w:val="0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kern w:val="0"/>
          <w:sz w:val="32"/>
          <w:szCs w:val="32"/>
          <w:highlight w:val="none"/>
          <w:lang w:val="en-US" w:eastAsia="zh-CN"/>
        </w:rPr>
        <w:t>四川康庄（三亚）律师事务所、江苏立泰（三亚）律师事务所、海南良典律师事务所、上海靖予霖（三亚）律师事务所、海南创科律师事务所、海南飞亚律师事务所、海南佐宸（三亚）律师事务所、山东柳泉（三亚）律师事务所、北京盈科（三亚）律师事务所。</w:t>
      </w:r>
    </w:p>
    <w:p>
      <w:pPr>
        <w:ind w:firstLine="640" w:firstLineChars="200"/>
        <w:rPr>
          <w:rFonts w:hint="eastAsia" w:ascii="仿宋" w:hAnsi="仿宋" w:eastAsia="仿宋" w:cstheme="minorBidi"/>
          <w:kern w:val="0"/>
          <w:sz w:val="32"/>
          <w:szCs w:val="32"/>
          <w:lang w:val="en-US" w:eastAsia="zh-CN" w:bidi="ar-SA"/>
        </w:rPr>
      </w:pPr>
    </w:p>
    <w:p>
      <w:pPr>
        <w:tabs>
          <w:tab w:val="left" w:pos="515"/>
        </w:tabs>
        <w:snapToGrid w:val="0"/>
        <w:spacing w:line="50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tabs>
          <w:tab w:val="left" w:pos="515"/>
        </w:tabs>
        <w:snapToGrid w:val="0"/>
        <w:spacing w:line="50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tabs>
          <w:tab w:val="left" w:pos="515"/>
        </w:tabs>
        <w:snapToGrid w:val="0"/>
        <w:spacing w:line="50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tabs>
          <w:tab w:val="left" w:pos="515"/>
        </w:tabs>
        <w:snapToGrid w:val="0"/>
        <w:spacing w:line="50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tabs>
          <w:tab w:val="left" w:pos="515"/>
        </w:tabs>
        <w:snapToGrid w:val="0"/>
        <w:spacing w:line="50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tabs>
          <w:tab w:val="left" w:pos="515"/>
        </w:tabs>
        <w:snapToGrid w:val="0"/>
        <w:spacing w:line="50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tabs>
          <w:tab w:val="left" w:pos="515"/>
        </w:tabs>
        <w:snapToGrid w:val="0"/>
        <w:spacing w:line="50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tabs>
          <w:tab w:val="left" w:pos="515"/>
        </w:tabs>
        <w:snapToGrid w:val="0"/>
        <w:spacing w:line="50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tabs>
          <w:tab w:val="left" w:pos="515"/>
        </w:tabs>
        <w:snapToGrid w:val="0"/>
        <w:spacing w:line="50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tabs>
          <w:tab w:val="left" w:pos="515"/>
        </w:tabs>
        <w:snapToGrid w:val="0"/>
        <w:spacing w:line="50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tabs>
          <w:tab w:val="left" w:pos="515"/>
        </w:tabs>
        <w:snapToGrid w:val="0"/>
        <w:spacing w:line="50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tabs>
          <w:tab w:val="left" w:pos="515"/>
        </w:tabs>
        <w:snapToGrid w:val="0"/>
        <w:spacing w:line="500" w:lineRule="exact"/>
        <w:rPr>
          <w:rFonts w:hint="eastAsia" w:ascii="仿宋" w:hAnsi="仿宋" w:eastAsia="仿宋"/>
          <w:b/>
          <w:sz w:val="32"/>
          <w:szCs w:val="32"/>
        </w:rPr>
      </w:pPr>
      <w:bookmarkStart w:id="0" w:name="_GoBack"/>
      <w:bookmarkEnd w:id="0"/>
    </w:p>
    <w:p>
      <w:pPr>
        <w:tabs>
          <w:tab w:val="left" w:pos="515"/>
        </w:tabs>
        <w:snapToGrid w:val="0"/>
        <w:spacing w:line="50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tabs>
          <w:tab w:val="left" w:pos="515"/>
        </w:tabs>
        <w:snapToGrid w:val="0"/>
        <w:spacing w:line="50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tabs>
          <w:tab w:val="left" w:pos="515"/>
        </w:tabs>
        <w:snapToGrid w:val="0"/>
        <w:spacing w:line="50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tabs>
          <w:tab w:val="left" w:pos="515"/>
        </w:tabs>
        <w:snapToGrid w:val="0"/>
        <w:spacing w:line="50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tabs>
          <w:tab w:val="left" w:pos="515"/>
        </w:tabs>
        <w:snapToGrid w:val="0"/>
        <w:spacing w:line="50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tabs>
          <w:tab w:val="left" w:pos="515"/>
        </w:tabs>
        <w:snapToGrid w:val="0"/>
        <w:spacing w:line="50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tabs>
          <w:tab w:val="left" w:pos="515"/>
        </w:tabs>
        <w:snapToGrid w:val="0"/>
        <w:spacing w:line="50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tabs>
          <w:tab w:val="left" w:pos="515"/>
        </w:tabs>
        <w:snapToGrid w:val="0"/>
        <w:spacing w:line="500" w:lineRule="exact"/>
      </w:pPr>
      <w:r>
        <w:rPr>
          <w:rFonts w:hint="eastAsia" w:ascii="仿宋" w:hAnsi="仿宋" w:eastAsia="仿宋"/>
          <w:b/>
          <w:sz w:val="32"/>
          <w:szCs w:val="32"/>
        </w:rPr>
        <w:t>（注：1.名单如有遗漏请立即告知协会负责体检的予以调整；2.个别律师在安排时间内因故不能参加体检的，应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尽快</w:t>
      </w:r>
      <w:r>
        <w:rPr>
          <w:rFonts w:hint="eastAsia" w:ascii="仿宋" w:hAnsi="仿宋" w:eastAsia="仿宋"/>
          <w:b/>
          <w:sz w:val="32"/>
          <w:szCs w:val="32"/>
        </w:rPr>
        <w:t>调整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时间</w:t>
      </w:r>
      <w:r>
        <w:rPr>
          <w:rFonts w:hint="eastAsia" w:ascii="仿宋" w:hAnsi="仿宋" w:eastAsia="仿宋"/>
          <w:b/>
          <w:sz w:val="32"/>
          <w:szCs w:val="32"/>
        </w:rPr>
        <w:t>参加体检，但延迟体检不得超过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b/>
          <w:sz w:val="32"/>
          <w:szCs w:val="32"/>
        </w:rPr>
        <w:t>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b/>
          <w:sz w:val="32"/>
          <w:szCs w:val="32"/>
        </w:rPr>
        <w:t>日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b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xNzRhNzNmYWZmODIxMWY4YjhhY2EyY2FmMzcxYTMifQ=="/>
  </w:docVars>
  <w:rsids>
    <w:rsidRoot w:val="62C829D6"/>
    <w:rsid w:val="1CC35B2A"/>
    <w:rsid w:val="1D2C5FB4"/>
    <w:rsid w:val="1E285C88"/>
    <w:rsid w:val="22EF16A6"/>
    <w:rsid w:val="2C6A7A12"/>
    <w:rsid w:val="323C5DA5"/>
    <w:rsid w:val="32DA1B88"/>
    <w:rsid w:val="38FA4263"/>
    <w:rsid w:val="3F26523E"/>
    <w:rsid w:val="51CE0FE4"/>
    <w:rsid w:val="62230ED8"/>
    <w:rsid w:val="62C829D6"/>
    <w:rsid w:val="66FD25F5"/>
    <w:rsid w:val="6813226C"/>
    <w:rsid w:val="6B8516EF"/>
    <w:rsid w:val="6EF91B83"/>
    <w:rsid w:val="712D4998"/>
    <w:rsid w:val="77027AA1"/>
    <w:rsid w:val="7C4C35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00" w:lineRule="exact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826</Words>
  <Characters>846</Characters>
  <Lines>0</Lines>
  <Paragraphs>0</Paragraphs>
  <TotalTime>10</TotalTime>
  <ScaleCrop>false</ScaleCrop>
  <LinksUpToDate>false</LinksUpToDate>
  <CharactersWithSpaces>847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2017-08-29T03:31:00Z</dcterms:created>
  <dc:creator>Administrator</dc:creator>
  <cp:lastModifiedBy>猫咪咪</cp:lastModifiedBy>
  <cp:lastPrinted>2023-10-09T08:33:22Z</cp:lastPrinted>
  <dcterms:modified xsi:type="dcterms:W3CDTF">2023-10-09T08:40:09Z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BE7DC25BA5A84B37BF89F7B06CD786E1</vt:lpwstr>
  </property>
</Properties>
</file>